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A5" w:rsidRDefault="00E009A5" w:rsidP="00D63CA7">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DỰ THẢO ĐIỀU CHỈNH, BỔ SUNG</w:t>
      </w:r>
      <w:r w:rsidR="003A65D4">
        <w:rPr>
          <w:rFonts w:ascii="Times New Roman" w:hAnsi="Times New Roman" w:cs="Times New Roman"/>
          <w:b/>
          <w:sz w:val="28"/>
          <w:szCs w:val="28"/>
          <w:lang w:val="en-US"/>
        </w:rPr>
        <w:t xml:space="preserve"> </w:t>
      </w:r>
      <w:r w:rsidR="00D63CA7" w:rsidRPr="00D63CA7">
        <w:rPr>
          <w:rFonts w:ascii="Times New Roman" w:hAnsi="Times New Roman" w:cs="Times New Roman"/>
          <w:b/>
          <w:sz w:val="28"/>
          <w:szCs w:val="28"/>
        </w:rPr>
        <w:t xml:space="preserve"> </w:t>
      </w:r>
      <w:r w:rsidR="003A65D4">
        <w:rPr>
          <w:rFonts w:ascii="Times New Roman" w:hAnsi="Times New Roman" w:cs="Times New Roman"/>
          <w:b/>
          <w:sz w:val="28"/>
          <w:szCs w:val="28"/>
          <w:lang w:val="en-US"/>
        </w:rPr>
        <w:t>QUY CHẾ</w:t>
      </w:r>
      <w:r w:rsidR="0078638D">
        <w:rPr>
          <w:rFonts w:ascii="Times New Roman" w:hAnsi="Times New Roman" w:cs="Times New Roman"/>
          <w:b/>
          <w:sz w:val="28"/>
          <w:szCs w:val="28"/>
          <w:lang w:val="en-US"/>
        </w:rPr>
        <w:t xml:space="preserve"> HOẠT ĐỘNG</w:t>
      </w:r>
      <w:r w:rsidR="003A65D4">
        <w:rPr>
          <w:rFonts w:ascii="Times New Roman" w:hAnsi="Times New Roman" w:cs="Times New Roman"/>
          <w:b/>
          <w:sz w:val="28"/>
          <w:szCs w:val="28"/>
          <w:lang w:val="en-US"/>
        </w:rPr>
        <w:t xml:space="preserve"> </w:t>
      </w:r>
    </w:p>
    <w:p w:rsidR="00EB33A3" w:rsidRPr="003A65D4" w:rsidRDefault="003A65D4" w:rsidP="00D63CA7">
      <w:pPr>
        <w:jc w:val="center"/>
        <w:rPr>
          <w:rFonts w:ascii="Times New Roman" w:hAnsi="Times New Roman" w:cs="Times New Roman"/>
          <w:b/>
          <w:sz w:val="28"/>
          <w:szCs w:val="28"/>
          <w:lang w:val="en-US"/>
        </w:rPr>
      </w:pPr>
      <w:r>
        <w:rPr>
          <w:rFonts w:ascii="Times New Roman" w:hAnsi="Times New Roman" w:cs="Times New Roman"/>
          <w:b/>
          <w:sz w:val="28"/>
          <w:szCs w:val="28"/>
          <w:lang w:val="en-US"/>
        </w:rPr>
        <w:t>CỦ</w:t>
      </w:r>
      <w:r w:rsidR="00E009A5">
        <w:rPr>
          <w:rFonts w:ascii="Times New Roman" w:hAnsi="Times New Roman" w:cs="Times New Roman"/>
          <w:b/>
          <w:sz w:val="28"/>
          <w:szCs w:val="28"/>
          <w:lang w:val="en-US"/>
        </w:rPr>
        <w:t>A BAN KIỂM SOÁT</w:t>
      </w:r>
    </w:p>
    <w:p w:rsidR="00D63CA7" w:rsidRDefault="00D63CA7" w:rsidP="00D63CA7">
      <w:pPr>
        <w:jc w:val="center"/>
      </w:pPr>
    </w:p>
    <w:tbl>
      <w:tblPr>
        <w:tblStyle w:val="TableGrid"/>
        <w:tblW w:w="9995" w:type="dxa"/>
        <w:tblLook w:val="04A0" w:firstRow="1" w:lastRow="0" w:firstColumn="1" w:lastColumn="0" w:noHBand="0" w:noVBand="1"/>
      </w:tblPr>
      <w:tblGrid>
        <w:gridCol w:w="3652"/>
        <w:gridCol w:w="4394"/>
        <w:gridCol w:w="1949"/>
      </w:tblGrid>
      <w:tr w:rsidR="00D63CA7" w:rsidRPr="00801C54" w:rsidTr="005E1B92">
        <w:trPr>
          <w:tblHeader/>
        </w:trPr>
        <w:tc>
          <w:tcPr>
            <w:tcW w:w="3652" w:type="dxa"/>
          </w:tcPr>
          <w:p w:rsidR="00D63CA7" w:rsidRPr="003A65D4" w:rsidRDefault="003A65D4" w:rsidP="00E02419">
            <w:pPr>
              <w:jc w:val="center"/>
              <w:rPr>
                <w:rFonts w:ascii="Times New Roman" w:hAnsi="Times New Roman" w:cs="Times New Roman"/>
                <w:b/>
              </w:rPr>
            </w:pPr>
            <w:r>
              <w:rPr>
                <w:rFonts w:ascii="Times New Roman" w:hAnsi="Times New Roman" w:cs="Times New Roman"/>
                <w:b/>
              </w:rPr>
              <w:t>Quy chế HĐ của BKS , ban hành kem theo QĐ số 250/QĐ-HĐQT.CSBR</w:t>
            </w:r>
          </w:p>
          <w:p w:rsidR="00D63CA7" w:rsidRPr="00D63CA7" w:rsidRDefault="00D63CA7" w:rsidP="00E02419">
            <w:pPr>
              <w:jc w:val="center"/>
              <w:rPr>
                <w:rFonts w:ascii="Times New Roman" w:hAnsi="Times New Roman" w:cs="Times New Roman"/>
                <w:b/>
                <w:lang w:val="vi-VN"/>
              </w:rPr>
            </w:pPr>
          </w:p>
        </w:tc>
        <w:tc>
          <w:tcPr>
            <w:tcW w:w="4394" w:type="dxa"/>
          </w:tcPr>
          <w:p w:rsidR="00D63DC1" w:rsidRPr="003A65D4" w:rsidRDefault="003A65D4" w:rsidP="00D63DC1">
            <w:pPr>
              <w:jc w:val="center"/>
              <w:rPr>
                <w:rFonts w:ascii="Times New Roman" w:hAnsi="Times New Roman" w:cs="Times New Roman"/>
                <w:b/>
              </w:rPr>
            </w:pPr>
            <w:r>
              <w:rPr>
                <w:rFonts w:ascii="Times New Roman" w:hAnsi="Times New Roman" w:cs="Times New Roman"/>
                <w:b/>
              </w:rPr>
              <w:t xml:space="preserve">Quy chế mới ( Dự thảo) </w:t>
            </w:r>
          </w:p>
          <w:p w:rsidR="00D63CA7" w:rsidRPr="00D63CA7" w:rsidRDefault="00D63CA7" w:rsidP="00E02419">
            <w:pPr>
              <w:jc w:val="center"/>
              <w:rPr>
                <w:rFonts w:ascii="Times New Roman" w:hAnsi="Times New Roman" w:cs="Times New Roman"/>
                <w:b/>
                <w:lang w:val="vi-VN"/>
              </w:rPr>
            </w:pPr>
          </w:p>
        </w:tc>
        <w:tc>
          <w:tcPr>
            <w:tcW w:w="1949" w:type="dxa"/>
          </w:tcPr>
          <w:p w:rsidR="00D63CA7" w:rsidRPr="00801C54" w:rsidRDefault="00EE2F87" w:rsidP="00E02419">
            <w:pPr>
              <w:jc w:val="center"/>
              <w:rPr>
                <w:rFonts w:ascii="Times New Roman" w:hAnsi="Times New Roman" w:cs="Times New Roman"/>
                <w:b/>
              </w:rPr>
            </w:pPr>
            <w:r>
              <w:rPr>
                <w:rFonts w:ascii="Times New Roman" w:hAnsi="Times New Roman" w:cs="Times New Roman"/>
                <w:b/>
              </w:rPr>
              <w:t xml:space="preserve">Tham chiếu </w:t>
            </w:r>
          </w:p>
        </w:tc>
      </w:tr>
      <w:tr w:rsidR="00D63CA7" w:rsidTr="005E1B92">
        <w:tc>
          <w:tcPr>
            <w:tcW w:w="3652" w:type="dxa"/>
          </w:tcPr>
          <w:p w:rsidR="00D63CA7" w:rsidRPr="0075313D" w:rsidRDefault="003A65D4" w:rsidP="003A65D4">
            <w:pPr>
              <w:jc w:val="center"/>
              <w:rPr>
                <w:rFonts w:ascii="Times New Roman" w:hAnsi="Times New Roman" w:cs="Times New Roman"/>
                <w:b/>
              </w:rPr>
            </w:pPr>
            <w:r w:rsidRPr="0075313D">
              <w:rPr>
                <w:rFonts w:ascii="Times New Roman" w:hAnsi="Times New Roman" w:cs="Times New Roman"/>
                <w:b/>
              </w:rPr>
              <w:t>Chương I</w:t>
            </w:r>
          </w:p>
        </w:tc>
        <w:tc>
          <w:tcPr>
            <w:tcW w:w="4394" w:type="dxa"/>
          </w:tcPr>
          <w:p w:rsidR="00D63CA7" w:rsidRPr="0075313D" w:rsidRDefault="003A65D4" w:rsidP="003A65D4">
            <w:pPr>
              <w:jc w:val="center"/>
              <w:rPr>
                <w:b/>
                <w:lang w:val="vi-VN"/>
              </w:rPr>
            </w:pPr>
            <w:r w:rsidRPr="0075313D">
              <w:rPr>
                <w:rFonts w:ascii="Times New Roman" w:hAnsi="Times New Roman" w:cs="Times New Roman"/>
                <w:b/>
              </w:rPr>
              <w:t>Chương I</w:t>
            </w:r>
            <w:r w:rsidR="003C7808">
              <w:rPr>
                <w:rFonts w:ascii="Times New Roman" w:hAnsi="Times New Roman" w:cs="Times New Roman"/>
                <w:b/>
              </w:rPr>
              <w:t>I</w:t>
            </w:r>
          </w:p>
        </w:tc>
        <w:tc>
          <w:tcPr>
            <w:tcW w:w="1949" w:type="dxa"/>
          </w:tcPr>
          <w:p w:rsidR="00D63CA7" w:rsidRPr="00D63CA7" w:rsidRDefault="00D63CA7" w:rsidP="003A65D4">
            <w:pPr>
              <w:jc w:val="center"/>
              <w:rPr>
                <w:lang w:val="vi-VN"/>
              </w:rPr>
            </w:pPr>
          </w:p>
        </w:tc>
      </w:tr>
      <w:tr w:rsidR="00D63CA7" w:rsidTr="005E1B92">
        <w:tc>
          <w:tcPr>
            <w:tcW w:w="3652" w:type="dxa"/>
          </w:tcPr>
          <w:p w:rsidR="00CE78A2" w:rsidRPr="00CE5BA2" w:rsidRDefault="00CE78A2" w:rsidP="00CE78A2">
            <w:pPr>
              <w:tabs>
                <w:tab w:val="left" w:pos="1560"/>
              </w:tabs>
              <w:spacing w:before="120" w:after="120"/>
              <w:rPr>
                <w:b/>
                <w:szCs w:val="28"/>
              </w:rPr>
            </w:pPr>
            <w:r w:rsidRPr="00CE5BA2">
              <w:rPr>
                <w:b/>
                <w:szCs w:val="28"/>
              </w:rPr>
              <w:t>Điều 2: Cơ cấu, tổ chức của</w:t>
            </w:r>
            <w:r w:rsidR="00CE5BA2">
              <w:rPr>
                <w:b/>
                <w:szCs w:val="28"/>
              </w:rPr>
              <w:t xml:space="preserve"> </w:t>
            </w:r>
            <w:r w:rsidRPr="00CE5BA2">
              <w:rPr>
                <w:b/>
                <w:szCs w:val="28"/>
              </w:rPr>
              <w:t xml:space="preserve">Ban kiểm soát </w:t>
            </w:r>
          </w:p>
          <w:p w:rsidR="00CE78A2" w:rsidRPr="00CE5BA2" w:rsidRDefault="00CE78A2" w:rsidP="00CE78A2">
            <w:pPr>
              <w:tabs>
                <w:tab w:val="left" w:pos="1560"/>
              </w:tabs>
              <w:spacing w:before="120" w:after="120"/>
              <w:rPr>
                <w:i/>
                <w:szCs w:val="28"/>
              </w:rPr>
            </w:pPr>
            <w:r w:rsidRPr="00CE5BA2">
              <w:rPr>
                <w:i/>
                <w:szCs w:val="28"/>
              </w:rPr>
              <w:t xml:space="preserve"> Khoản 2</w:t>
            </w:r>
          </w:p>
          <w:p w:rsidR="00D63CA7" w:rsidRPr="00CE5BA2" w:rsidRDefault="00CE78A2" w:rsidP="00CE5BA2">
            <w:pPr>
              <w:tabs>
                <w:tab w:val="left" w:pos="851"/>
              </w:tabs>
              <w:spacing w:before="120" w:after="120"/>
              <w:jc w:val="both"/>
              <w:rPr>
                <w:lang w:val="vi-VN"/>
              </w:rPr>
            </w:pPr>
            <w:r w:rsidRPr="00CE5BA2">
              <w:rPr>
                <w:szCs w:val="28"/>
              </w:rPr>
              <w:t>Trưởng Ban kiểm soát phải là kế toán viên hoặc kiểm toán viên chuyên nghiệp và phải làm việc chuyên trách tại Công ty, trừ trường hợp Điều lệ Công ty quy định tiêu chuẩn cao hơn</w:t>
            </w:r>
          </w:p>
        </w:tc>
        <w:tc>
          <w:tcPr>
            <w:tcW w:w="4394" w:type="dxa"/>
          </w:tcPr>
          <w:p w:rsidR="00CE5BA2" w:rsidRPr="00CE5BA2" w:rsidRDefault="00CE5BA2" w:rsidP="00CE5BA2">
            <w:pPr>
              <w:tabs>
                <w:tab w:val="left" w:pos="1560"/>
              </w:tabs>
              <w:spacing w:before="120" w:after="120"/>
              <w:rPr>
                <w:b/>
                <w:szCs w:val="28"/>
              </w:rPr>
            </w:pPr>
            <w:r w:rsidRPr="00CE5BA2">
              <w:rPr>
                <w:b/>
                <w:szCs w:val="28"/>
              </w:rPr>
              <w:t>Điề</w:t>
            </w:r>
            <w:r w:rsidR="003C7808">
              <w:rPr>
                <w:b/>
                <w:szCs w:val="28"/>
              </w:rPr>
              <w:t>u 6</w:t>
            </w:r>
            <w:r w:rsidRPr="00CE5BA2">
              <w:rPr>
                <w:b/>
                <w:szCs w:val="28"/>
              </w:rPr>
              <w:t xml:space="preserve">: </w:t>
            </w:r>
            <w:r w:rsidR="003C7808">
              <w:rPr>
                <w:b/>
                <w:szCs w:val="28"/>
              </w:rPr>
              <w:t xml:space="preserve">Trưởng </w:t>
            </w:r>
            <w:r>
              <w:rPr>
                <w:b/>
                <w:szCs w:val="28"/>
              </w:rPr>
              <w:t xml:space="preserve"> </w:t>
            </w:r>
            <w:r w:rsidRPr="00CE5BA2">
              <w:rPr>
                <w:b/>
                <w:szCs w:val="28"/>
              </w:rPr>
              <w:t xml:space="preserve">Ban kiểm soát </w:t>
            </w:r>
          </w:p>
          <w:p w:rsidR="00CE5BA2" w:rsidRPr="00CE5BA2" w:rsidRDefault="00CE5BA2" w:rsidP="00CE5BA2">
            <w:pPr>
              <w:tabs>
                <w:tab w:val="left" w:pos="1560"/>
              </w:tabs>
              <w:spacing w:before="120" w:after="120"/>
              <w:rPr>
                <w:i/>
                <w:szCs w:val="28"/>
              </w:rPr>
            </w:pPr>
            <w:r w:rsidRPr="00CE5BA2">
              <w:rPr>
                <w:i/>
                <w:szCs w:val="28"/>
              </w:rPr>
              <w:t xml:space="preserve"> Khoả</w:t>
            </w:r>
            <w:r w:rsidR="003C7808">
              <w:rPr>
                <w:i/>
                <w:szCs w:val="28"/>
              </w:rPr>
              <w:t>n 1</w:t>
            </w:r>
          </w:p>
          <w:p w:rsidR="00CE5BA2" w:rsidRPr="00CE5BA2" w:rsidRDefault="00CE5BA2" w:rsidP="00CE5BA2">
            <w:pPr>
              <w:tabs>
                <w:tab w:val="left" w:pos="851"/>
              </w:tabs>
              <w:spacing w:before="120" w:after="120"/>
              <w:jc w:val="both"/>
              <w:rPr>
                <w:szCs w:val="28"/>
              </w:rPr>
            </w:pPr>
            <w:r w:rsidRPr="00CE5BA2">
              <w:rPr>
                <w:szCs w:val="28"/>
              </w:rPr>
              <w:t>Trưởng Ban kiểm soát phải có bằng tốt nghiệp đại học trở lên thuộc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rsidR="00D63CA7" w:rsidRPr="00CE5BA2" w:rsidRDefault="00D63CA7" w:rsidP="00E02419">
            <w:pPr>
              <w:rPr>
                <w:lang w:val="vi-VN"/>
              </w:rPr>
            </w:pPr>
          </w:p>
        </w:tc>
        <w:tc>
          <w:tcPr>
            <w:tcW w:w="1949" w:type="dxa"/>
          </w:tcPr>
          <w:p w:rsidR="00D63CA7" w:rsidRPr="00F24F48" w:rsidRDefault="00D11EF8" w:rsidP="00E02419">
            <w:pPr>
              <w:rPr>
                <w:i/>
              </w:rPr>
            </w:pPr>
            <w:r w:rsidRPr="00F24F48">
              <w:rPr>
                <w:i/>
              </w:rPr>
              <w:t>Khoản 2, Đi</w:t>
            </w:r>
            <w:r w:rsidR="00840B14">
              <w:rPr>
                <w:i/>
              </w:rPr>
              <w:t>ề</w:t>
            </w:r>
            <w:r w:rsidRPr="00F24F48">
              <w:rPr>
                <w:i/>
              </w:rPr>
              <w:t>u 168 Luật DN 2020</w:t>
            </w:r>
          </w:p>
        </w:tc>
      </w:tr>
      <w:tr w:rsidR="00D63CA7" w:rsidTr="005E1B92">
        <w:tc>
          <w:tcPr>
            <w:tcW w:w="3652" w:type="dxa"/>
          </w:tcPr>
          <w:p w:rsidR="0075313D" w:rsidRPr="00EE2F87" w:rsidRDefault="0075313D" w:rsidP="0075313D">
            <w:pPr>
              <w:tabs>
                <w:tab w:val="left" w:pos="1560"/>
              </w:tabs>
              <w:spacing w:before="240" w:after="120"/>
              <w:jc w:val="both"/>
              <w:rPr>
                <w:b/>
                <w:szCs w:val="28"/>
              </w:rPr>
            </w:pPr>
            <w:r w:rsidRPr="00EE2F87">
              <w:rPr>
                <w:b/>
                <w:szCs w:val="28"/>
              </w:rPr>
              <w:t>Điều 3: Tiêu chuẩn và điều kiện của Kiểm soát viên</w:t>
            </w:r>
          </w:p>
          <w:p w:rsidR="0075313D" w:rsidRPr="00EE2F87" w:rsidRDefault="0075313D" w:rsidP="0075313D">
            <w:pPr>
              <w:tabs>
                <w:tab w:val="left" w:pos="851"/>
              </w:tabs>
              <w:spacing w:before="240" w:after="120"/>
              <w:jc w:val="both"/>
              <w:rPr>
                <w:i/>
                <w:szCs w:val="28"/>
              </w:rPr>
            </w:pPr>
            <w:r w:rsidRPr="00EE2F87">
              <w:rPr>
                <w:i/>
                <w:szCs w:val="28"/>
              </w:rPr>
              <w:t>1.)Kiểm soát viên phải có tiêu chuẩn và điều kiện sau đây:</w:t>
            </w:r>
          </w:p>
          <w:p w:rsidR="0075313D" w:rsidRPr="00EE2F87" w:rsidRDefault="0075313D" w:rsidP="0075313D">
            <w:pPr>
              <w:tabs>
                <w:tab w:val="left" w:pos="851"/>
              </w:tabs>
              <w:spacing w:before="120" w:after="120"/>
              <w:jc w:val="both"/>
              <w:rPr>
                <w:szCs w:val="28"/>
              </w:rPr>
            </w:pPr>
            <w:r w:rsidRPr="00EE2F87">
              <w:rPr>
                <w:szCs w:val="28"/>
              </w:rPr>
              <w:t>a) Có năng lực hành vi dân sự đầy đủ và không thuộc đối tượng bị cấm thành lập và quản lý doanh nghiệp theo quy định của Luật doanh nghiệp;</w:t>
            </w:r>
          </w:p>
          <w:p w:rsidR="0075313D" w:rsidRPr="00EE2F87" w:rsidRDefault="0075313D" w:rsidP="0075313D">
            <w:pPr>
              <w:tabs>
                <w:tab w:val="left" w:pos="851"/>
              </w:tabs>
              <w:spacing w:before="120" w:after="120"/>
              <w:jc w:val="both"/>
              <w:rPr>
                <w:szCs w:val="28"/>
              </w:rPr>
            </w:pPr>
            <w:r w:rsidRPr="00EE2F87">
              <w:rPr>
                <w:szCs w:val="28"/>
              </w:rPr>
              <w:t>b) Không phải vợ hoặc chồng, cha đẻ, cha nuôi, mẹ đẻ, mẹ nuôi, con đẻ, con nuôi, anh ruột, chị ruột, em ruột của thành viên Hội đồng quản trị, Tổng giám đốc và người quản lý khác;</w:t>
            </w:r>
          </w:p>
          <w:p w:rsidR="0075313D" w:rsidRPr="00EE2F87" w:rsidRDefault="0075313D" w:rsidP="0075313D">
            <w:pPr>
              <w:tabs>
                <w:tab w:val="left" w:pos="851"/>
              </w:tabs>
              <w:spacing w:before="120" w:after="120"/>
              <w:jc w:val="both"/>
              <w:rPr>
                <w:szCs w:val="28"/>
              </w:rPr>
            </w:pPr>
            <w:r w:rsidRPr="00EE2F87">
              <w:rPr>
                <w:szCs w:val="28"/>
              </w:rPr>
              <w:t>c)Không được giữ chức vụ quản lý Công ty; không nhất thiết phải là cổ đông hoặc người lao động của Công ty, trừ trường hợp Điều lệ Công ty có quy định khác;</w:t>
            </w:r>
          </w:p>
          <w:p w:rsidR="0075313D" w:rsidRPr="00EE2F87" w:rsidRDefault="0075313D" w:rsidP="0075313D">
            <w:pPr>
              <w:tabs>
                <w:tab w:val="left" w:pos="851"/>
              </w:tabs>
              <w:spacing w:before="120" w:after="120"/>
              <w:jc w:val="both"/>
              <w:rPr>
                <w:szCs w:val="28"/>
              </w:rPr>
            </w:pPr>
            <w:r w:rsidRPr="00EE2F87">
              <w:rPr>
                <w:szCs w:val="28"/>
              </w:rPr>
              <w:t>d)Các tiêu chuẩn và điều kiện khác theo quy định của pháp luật có liên quan và Điều lệ Công ty.</w:t>
            </w:r>
          </w:p>
          <w:p w:rsidR="0075313D" w:rsidRPr="00EE2F87" w:rsidRDefault="0075313D" w:rsidP="0075313D">
            <w:pPr>
              <w:tabs>
                <w:tab w:val="left" w:pos="851"/>
              </w:tabs>
              <w:spacing w:before="240" w:after="120"/>
              <w:jc w:val="both"/>
              <w:rPr>
                <w:szCs w:val="28"/>
              </w:rPr>
            </w:pPr>
            <w:r w:rsidRPr="00EE2F87">
              <w:rPr>
                <w:szCs w:val="28"/>
              </w:rPr>
              <w:t>2).Kiểm soát viên phải là kiểm toán viên hoặc kế toán viên.</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8"/>
                <w:szCs w:val="28"/>
              </w:rPr>
            </w:pPr>
          </w:p>
          <w:p w:rsidR="00D63CA7" w:rsidRPr="00EE2F87" w:rsidRDefault="00D63CA7" w:rsidP="00E02419">
            <w:pPr>
              <w:rPr>
                <w:lang w:val="vi-VN"/>
              </w:rPr>
            </w:pPr>
          </w:p>
        </w:tc>
        <w:tc>
          <w:tcPr>
            <w:tcW w:w="4394" w:type="dxa"/>
          </w:tcPr>
          <w:p w:rsidR="0075313D" w:rsidRPr="00EE2F87" w:rsidRDefault="0075313D" w:rsidP="0075313D">
            <w:pPr>
              <w:tabs>
                <w:tab w:val="left" w:pos="1560"/>
              </w:tabs>
              <w:spacing w:before="240" w:after="120"/>
              <w:jc w:val="both"/>
              <w:rPr>
                <w:b/>
                <w:szCs w:val="28"/>
              </w:rPr>
            </w:pPr>
            <w:r w:rsidRPr="00EE2F87">
              <w:rPr>
                <w:b/>
                <w:szCs w:val="28"/>
              </w:rPr>
              <w:lastRenderedPageBreak/>
              <w:t>Điề</w:t>
            </w:r>
            <w:r w:rsidR="0009515C" w:rsidRPr="00EE2F87">
              <w:rPr>
                <w:b/>
                <w:szCs w:val="28"/>
              </w:rPr>
              <w:t>u 5</w:t>
            </w:r>
            <w:r w:rsidRPr="00EE2F87">
              <w:rPr>
                <w:b/>
                <w:szCs w:val="28"/>
              </w:rPr>
              <w:t xml:space="preserve">: Tiêu chuẩn và điều kiện của </w:t>
            </w:r>
            <w:r w:rsidR="0009515C" w:rsidRPr="00EE2F87">
              <w:rPr>
                <w:b/>
                <w:szCs w:val="28"/>
              </w:rPr>
              <w:t>Thành viên Ban Kiểm soát.</w:t>
            </w:r>
          </w:p>
          <w:p w:rsidR="0075313D" w:rsidRPr="00EE2F87" w:rsidRDefault="0075313D" w:rsidP="0075313D">
            <w:pPr>
              <w:tabs>
                <w:tab w:val="left" w:pos="851"/>
              </w:tabs>
              <w:spacing w:before="240" w:after="120"/>
              <w:jc w:val="both"/>
              <w:rPr>
                <w:i/>
                <w:szCs w:val="28"/>
              </w:rPr>
            </w:pPr>
            <w:r w:rsidRPr="00EE2F87">
              <w:rPr>
                <w:i/>
                <w:szCs w:val="28"/>
              </w:rPr>
              <w:t>1.)Kiểm soát viên phải có tiêu chuẩn và điều kiện sau đây:</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sz w:val="27"/>
                <w:szCs w:val="27"/>
              </w:rPr>
              <w:t>a</w:t>
            </w:r>
            <w:r w:rsidRPr="00EE2F87">
              <w:rPr>
                <w:sz w:val="26"/>
                <w:szCs w:val="26"/>
              </w:rPr>
              <w:t>)</w:t>
            </w:r>
            <w:r w:rsidRPr="00EE2F87">
              <w:rPr>
                <w:rFonts w:eastAsia="Arial"/>
                <w:i/>
                <w:sz w:val="26"/>
                <w:szCs w:val="26"/>
              </w:rPr>
              <w:t>Không thuộc đối tượng theo quy định tại khoản 2 Điều 17 của Luật doanh nghiệp số 59/2020/QH14;</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rFonts w:eastAsia="Arial"/>
                <w:i/>
                <w:sz w:val="26"/>
                <w:szCs w:val="26"/>
              </w:rPr>
              <w:t>b)Được đào tạo một trong các chuyên ngành về kinh tế, tài chính, kế toán, kiểm toán, luật, quản trị kinh doanh hoặc chuyên ngành phù hợp với hoạt động kinh doanh của doanh nghiệp;</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rFonts w:eastAsia="Arial"/>
                <w:i/>
                <w:sz w:val="26"/>
                <w:szCs w:val="26"/>
              </w:rPr>
              <w:t>c)Không phải là người có quan hệ gia đình của thành viên Hội đồng quản trị, Giám đốc hoặc Tổng giám đốc và người quản lý khác;</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rFonts w:eastAsia="Arial"/>
                <w:i/>
                <w:sz w:val="26"/>
                <w:szCs w:val="26"/>
              </w:rPr>
              <w:t>d) Không phải là người quản lý công ty; không nhất thiết phải là cổ đông hoặc người lao động của công ty, trừ trường hợp Điều lệ công ty có quy định khác;</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rFonts w:eastAsia="Arial"/>
                <w:i/>
                <w:sz w:val="26"/>
                <w:szCs w:val="26"/>
              </w:rPr>
              <w:t>đ) Tiêu chuẩn và điều kiện khác theo quy định khác của pháp luật có liên quan và Điều lệ công ty.</w:t>
            </w:r>
          </w:p>
          <w:p w:rsidR="0075313D" w:rsidRPr="00EE2F87" w:rsidRDefault="0075313D" w:rsidP="0075313D">
            <w:pPr>
              <w:pStyle w:val="NormalWeb"/>
              <w:shd w:val="clear" w:color="auto" w:fill="FFFFFF"/>
              <w:spacing w:before="0" w:beforeAutospacing="0" w:after="0" w:afterAutospacing="0" w:line="320" w:lineRule="atLeast"/>
              <w:jc w:val="both"/>
              <w:textAlignment w:val="baseline"/>
              <w:rPr>
                <w:rFonts w:eastAsia="Arial"/>
                <w:i/>
                <w:sz w:val="26"/>
                <w:szCs w:val="26"/>
              </w:rPr>
            </w:pPr>
            <w:r w:rsidRPr="00EE2F87">
              <w:rPr>
                <w:rFonts w:eastAsia="Arial"/>
                <w:i/>
                <w:sz w:val="26"/>
                <w:szCs w:val="26"/>
              </w:rPr>
              <w:lastRenderedPageBreak/>
              <w:t>2. Ngoài các tiêu chuẩn, điều kiện quy định tại khoản 1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D63CA7" w:rsidRPr="00EE2F87" w:rsidRDefault="00D63CA7" w:rsidP="00E02419">
            <w:pPr>
              <w:rPr>
                <w:lang w:val="vi-VN"/>
              </w:rPr>
            </w:pPr>
          </w:p>
        </w:tc>
        <w:tc>
          <w:tcPr>
            <w:tcW w:w="1949" w:type="dxa"/>
          </w:tcPr>
          <w:p w:rsidR="00D63CA7" w:rsidRPr="00D63CA7" w:rsidRDefault="00840B14" w:rsidP="00E02419">
            <w:pPr>
              <w:rPr>
                <w:lang w:val="vi-VN"/>
              </w:rPr>
            </w:pPr>
            <w:r w:rsidRPr="00F24F48">
              <w:rPr>
                <w:i/>
              </w:rPr>
              <w:lastRenderedPageBreak/>
              <w:t>Khoản</w:t>
            </w:r>
            <w:r w:rsidR="006E5E8C">
              <w:rPr>
                <w:i/>
              </w:rPr>
              <w:t xml:space="preserve"> </w:t>
            </w:r>
            <w:r>
              <w:rPr>
                <w:i/>
              </w:rPr>
              <w:t>01, 0</w:t>
            </w:r>
            <w:r w:rsidRPr="00F24F48">
              <w:rPr>
                <w:i/>
              </w:rPr>
              <w:t xml:space="preserve"> 2, Đi</w:t>
            </w:r>
            <w:r>
              <w:rPr>
                <w:i/>
              </w:rPr>
              <w:t>ều 169</w:t>
            </w:r>
            <w:r w:rsidRPr="00F24F48">
              <w:rPr>
                <w:i/>
              </w:rPr>
              <w:t xml:space="preserve"> Luật DN 2020</w:t>
            </w:r>
          </w:p>
        </w:tc>
      </w:tr>
      <w:tr w:rsidR="002B0951" w:rsidTr="005E1B92">
        <w:tc>
          <w:tcPr>
            <w:tcW w:w="3652" w:type="dxa"/>
          </w:tcPr>
          <w:p w:rsidR="002B0951" w:rsidRPr="0075313D" w:rsidRDefault="002B0951" w:rsidP="00F73E42">
            <w:pPr>
              <w:jc w:val="center"/>
              <w:rPr>
                <w:rFonts w:ascii="Times New Roman" w:hAnsi="Times New Roman" w:cs="Times New Roman"/>
                <w:b/>
              </w:rPr>
            </w:pPr>
            <w:r>
              <w:rPr>
                <w:rFonts w:ascii="Times New Roman" w:hAnsi="Times New Roman" w:cs="Times New Roman"/>
                <w:b/>
              </w:rPr>
              <w:lastRenderedPageBreak/>
              <w:t>Chương II</w:t>
            </w:r>
          </w:p>
        </w:tc>
        <w:tc>
          <w:tcPr>
            <w:tcW w:w="4394" w:type="dxa"/>
          </w:tcPr>
          <w:p w:rsidR="002B0951" w:rsidRPr="0075313D" w:rsidRDefault="002B0951" w:rsidP="00F73E42">
            <w:pPr>
              <w:jc w:val="center"/>
              <w:rPr>
                <w:b/>
                <w:lang w:val="vi-VN"/>
              </w:rPr>
            </w:pPr>
            <w:r>
              <w:rPr>
                <w:rFonts w:ascii="Times New Roman" w:hAnsi="Times New Roman" w:cs="Times New Roman"/>
                <w:b/>
              </w:rPr>
              <w:t>Chương II</w:t>
            </w:r>
            <w:r w:rsidR="0009515C">
              <w:rPr>
                <w:rFonts w:ascii="Times New Roman" w:hAnsi="Times New Roman" w:cs="Times New Roman"/>
                <w:b/>
              </w:rPr>
              <w:t>I</w:t>
            </w:r>
          </w:p>
        </w:tc>
        <w:tc>
          <w:tcPr>
            <w:tcW w:w="1949" w:type="dxa"/>
          </w:tcPr>
          <w:p w:rsidR="002B0951" w:rsidRPr="00D63CA7" w:rsidRDefault="002B0951" w:rsidP="00E02419">
            <w:pPr>
              <w:rPr>
                <w:lang w:val="vi-VN"/>
              </w:rPr>
            </w:pPr>
          </w:p>
        </w:tc>
      </w:tr>
      <w:tr w:rsidR="002B0951" w:rsidTr="005E1B92">
        <w:tc>
          <w:tcPr>
            <w:tcW w:w="3652" w:type="dxa"/>
          </w:tcPr>
          <w:p w:rsidR="000111F0" w:rsidRPr="00C20A6E" w:rsidRDefault="000111F0" w:rsidP="000111F0">
            <w:pPr>
              <w:tabs>
                <w:tab w:val="left" w:pos="1560"/>
              </w:tabs>
              <w:spacing w:before="240" w:after="120"/>
              <w:jc w:val="both"/>
              <w:rPr>
                <w:b/>
                <w:szCs w:val="28"/>
              </w:rPr>
            </w:pPr>
            <w:r>
              <w:rPr>
                <w:b/>
                <w:szCs w:val="28"/>
              </w:rPr>
              <w:t xml:space="preserve">Điều 4. </w:t>
            </w:r>
            <w:r w:rsidRPr="00C20A6E">
              <w:rPr>
                <w:b/>
                <w:szCs w:val="28"/>
              </w:rPr>
              <w:t>Quyền và nghĩa vụ của Ban kiểm soát</w:t>
            </w:r>
          </w:p>
          <w:p w:rsidR="000111F0" w:rsidRPr="00780150" w:rsidRDefault="000111F0" w:rsidP="00780150">
            <w:pPr>
              <w:spacing w:before="120" w:after="120"/>
              <w:ind w:firstLine="284"/>
              <w:jc w:val="both"/>
              <w:rPr>
                <w:szCs w:val="28"/>
              </w:rPr>
            </w:pPr>
            <w:r w:rsidRPr="000111F0">
              <w:rPr>
                <w:szCs w:val="28"/>
              </w:rPr>
              <w:t>Ban kiểm soát có quyền hạn và nghĩa vụ theo quy định tại Điều 165 Luật doanh nghiệp và Điều lệ Công ty,</w:t>
            </w:r>
            <w:r>
              <w:rPr>
                <w:szCs w:val="28"/>
              </w:rPr>
              <w:t>:</w:t>
            </w:r>
          </w:p>
          <w:p w:rsidR="002B0951" w:rsidRDefault="002B0951" w:rsidP="00780150">
            <w:pPr>
              <w:tabs>
                <w:tab w:val="left" w:pos="851"/>
              </w:tabs>
              <w:spacing w:before="120" w:after="120"/>
              <w:jc w:val="both"/>
            </w:pPr>
          </w:p>
          <w:p w:rsidR="002C78EA" w:rsidRDefault="002C78EA" w:rsidP="00780150">
            <w:pPr>
              <w:tabs>
                <w:tab w:val="left" w:pos="851"/>
              </w:tabs>
              <w:spacing w:before="120" w:after="120"/>
              <w:jc w:val="both"/>
            </w:pPr>
          </w:p>
          <w:p w:rsidR="002C78EA" w:rsidRDefault="002C78EA" w:rsidP="00780150">
            <w:pPr>
              <w:tabs>
                <w:tab w:val="left" w:pos="851"/>
              </w:tabs>
              <w:spacing w:before="120" w:after="120"/>
              <w:jc w:val="both"/>
            </w:pPr>
          </w:p>
          <w:p w:rsidR="002C78EA" w:rsidRDefault="002C78EA" w:rsidP="00780150">
            <w:pPr>
              <w:tabs>
                <w:tab w:val="left" w:pos="851"/>
              </w:tabs>
              <w:spacing w:before="120" w:after="120"/>
              <w:jc w:val="both"/>
            </w:pPr>
          </w:p>
          <w:p w:rsidR="003B54B4" w:rsidRDefault="003B00FF" w:rsidP="002C78EA">
            <w:pPr>
              <w:tabs>
                <w:tab w:val="left" w:pos="851"/>
              </w:tabs>
              <w:spacing w:before="120" w:after="120"/>
              <w:jc w:val="both"/>
              <w:rPr>
                <w:szCs w:val="28"/>
              </w:rPr>
            </w:pPr>
            <w:r>
              <w:rPr>
                <w:szCs w:val="28"/>
              </w:rPr>
              <w:t xml:space="preserve"> </w:t>
            </w:r>
          </w:p>
          <w:p w:rsidR="003B54B4" w:rsidRDefault="003B54B4" w:rsidP="002C78EA">
            <w:pPr>
              <w:tabs>
                <w:tab w:val="left" w:pos="851"/>
              </w:tabs>
              <w:spacing w:before="120" w:after="120"/>
              <w:jc w:val="both"/>
              <w:rPr>
                <w:szCs w:val="28"/>
              </w:rPr>
            </w:pPr>
          </w:p>
          <w:p w:rsidR="003B54B4" w:rsidRDefault="003B54B4" w:rsidP="002C78EA">
            <w:pPr>
              <w:tabs>
                <w:tab w:val="left" w:pos="851"/>
              </w:tabs>
              <w:spacing w:before="120" w:after="120"/>
              <w:jc w:val="both"/>
              <w:rPr>
                <w:szCs w:val="28"/>
              </w:rPr>
            </w:pPr>
          </w:p>
          <w:p w:rsidR="002C78EA" w:rsidRPr="00EE2F87" w:rsidRDefault="002C78EA" w:rsidP="002C78EA">
            <w:pPr>
              <w:tabs>
                <w:tab w:val="left" w:pos="851"/>
              </w:tabs>
              <w:spacing w:before="120" w:after="120"/>
              <w:jc w:val="both"/>
              <w:rPr>
                <w:szCs w:val="28"/>
              </w:rPr>
            </w:pPr>
            <w:r w:rsidRPr="00EE2F87">
              <w:rPr>
                <w:szCs w:val="28"/>
              </w:rPr>
              <w:t xml:space="preserve"> </w:t>
            </w:r>
            <w:r w:rsidR="001850C6" w:rsidRPr="00EE2F87">
              <w:rPr>
                <w:szCs w:val="28"/>
              </w:rPr>
              <w:t>Khoản 9, Điều 4:</w:t>
            </w:r>
            <w:r w:rsidRPr="00EE2F87">
              <w:rPr>
                <w:szCs w:val="28"/>
              </w:rPr>
              <w:t xml:space="preserve"> Kiểm soát viên được tham dự các cuộc họp giao ban, họp Đại hội đồng cổ đông, họp Hội đồng quản trị, họp Ban Tổng giám đốc, họp chuyên đề về liên quan đến việc thực hiện nhiệm vụ của Kiểm soát viên tại Công ty. Kiểm soát viên tham dự các cuộc họp có quyền phát biểu nhưng không có quyền biểu quyết.</w:t>
            </w:r>
          </w:p>
          <w:p w:rsidR="002C78EA" w:rsidRPr="00EE2F87" w:rsidRDefault="002C78EA" w:rsidP="00780150">
            <w:pPr>
              <w:tabs>
                <w:tab w:val="left" w:pos="851"/>
              </w:tabs>
              <w:spacing w:before="120" w:after="120"/>
              <w:jc w:val="both"/>
            </w:pPr>
          </w:p>
          <w:p w:rsidR="002C78EA" w:rsidRDefault="002C78EA" w:rsidP="00780150">
            <w:pPr>
              <w:tabs>
                <w:tab w:val="left" w:pos="851"/>
              </w:tabs>
              <w:spacing w:before="120" w:after="120"/>
              <w:jc w:val="both"/>
            </w:pPr>
          </w:p>
          <w:p w:rsidR="002C78EA" w:rsidRPr="002C78EA" w:rsidRDefault="002C78EA" w:rsidP="00780150">
            <w:pPr>
              <w:tabs>
                <w:tab w:val="left" w:pos="851"/>
              </w:tabs>
              <w:spacing w:before="120" w:after="120"/>
              <w:jc w:val="both"/>
            </w:pPr>
          </w:p>
        </w:tc>
        <w:tc>
          <w:tcPr>
            <w:tcW w:w="4394" w:type="dxa"/>
          </w:tcPr>
          <w:p w:rsidR="000111F0" w:rsidRPr="00C20A6E" w:rsidRDefault="000111F0" w:rsidP="000111F0">
            <w:pPr>
              <w:tabs>
                <w:tab w:val="left" w:pos="1560"/>
              </w:tabs>
              <w:spacing w:before="240" w:after="120"/>
              <w:jc w:val="both"/>
              <w:rPr>
                <w:b/>
                <w:szCs w:val="28"/>
              </w:rPr>
            </w:pPr>
            <w:r>
              <w:rPr>
                <w:b/>
                <w:szCs w:val="28"/>
              </w:rPr>
              <w:t>Điề</w:t>
            </w:r>
            <w:r w:rsidR="0009515C">
              <w:rPr>
                <w:b/>
                <w:szCs w:val="28"/>
              </w:rPr>
              <w:t>u 11</w:t>
            </w:r>
            <w:r>
              <w:rPr>
                <w:b/>
                <w:szCs w:val="28"/>
              </w:rPr>
              <w:t xml:space="preserve">. </w:t>
            </w:r>
            <w:r w:rsidRPr="00C20A6E">
              <w:rPr>
                <w:b/>
                <w:szCs w:val="28"/>
              </w:rPr>
              <w:t>Quyề</w:t>
            </w:r>
            <w:r w:rsidR="0009515C">
              <w:rPr>
                <w:b/>
                <w:szCs w:val="28"/>
              </w:rPr>
              <w:t xml:space="preserve">n, </w:t>
            </w:r>
            <w:r w:rsidRPr="00C20A6E">
              <w:rPr>
                <w:b/>
                <w:szCs w:val="28"/>
              </w:rPr>
              <w:t xml:space="preserve">nghĩa vụ </w:t>
            </w:r>
            <w:r w:rsidR="0009515C">
              <w:rPr>
                <w:b/>
                <w:szCs w:val="28"/>
              </w:rPr>
              <w:t xml:space="preserve">và trách nhiệm </w:t>
            </w:r>
            <w:r w:rsidRPr="00C20A6E">
              <w:rPr>
                <w:b/>
                <w:szCs w:val="28"/>
              </w:rPr>
              <w:t>của Ban kiểm soát</w:t>
            </w:r>
          </w:p>
          <w:p w:rsidR="000111F0" w:rsidRPr="007463EC" w:rsidRDefault="000111F0" w:rsidP="000111F0">
            <w:pPr>
              <w:spacing w:before="120" w:after="120"/>
              <w:ind w:firstLine="284"/>
              <w:jc w:val="both"/>
              <w:rPr>
                <w:i/>
                <w:szCs w:val="28"/>
              </w:rPr>
            </w:pPr>
            <w:r w:rsidRPr="007463EC">
              <w:rPr>
                <w:i/>
                <w:szCs w:val="28"/>
              </w:rPr>
              <w:t xml:space="preserve">Ban kiểm soát có quyền hạn và nghĩa vụ theo quy định tại Điều </w:t>
            </w:r>
            <w:r>
              <w:rPr>
                <w:i/>
                <w:szCs w:val="28"/>
              </w:rPr>
              <w:t xml:space="preserve">170,171 </w:t>
            </w:r>
            <w:r w:rsidRPr="007463EC">
              <w:rPr>
                <w:i/>
                <w:szCs w:val="28"/>
              </w:rPr>
              <w:t>Luật doanh nghiệp và Điều lệ</w:t>
            </w:r>
            <w:r w:rsidR="001850C6">
              <w:rPr>
                <w:i/>
                <w:szCs w:val="28"/>
              </w:rPr>
              <w:t xml:space="preserve"> Công ty</w:t>
            </w:r>
          </w:p>
          <w:p w:rsidR="000111F0" w:rsidRDefault="000111F0" w:rsidP="000111F0">
            <w:pPr>
              <w:tabs>
                <w:tab w:val="left" w:pos="851"/>
              </w:tabs>
              <w:spacing w:before="120" w:after="120"/>
              <w:jc w:val="both"/>
              <w:rPr>
                <w:color w:val="FF0000"/>
                <w:szCs w:val="28"/>
                <w:highlight w:val="yellow"/>
              </w:rPr>
            </w:pPr>
          </w:p>
          <w:p w:rsidR="000111F0" w:rsidRPr="000111F0" w:rsidRDefault="000111F0" w:rsidP="000111F0">
            <w:pPr>
              <w:tabs>
                <w:tab w:val="left" w:pos="851"/>
              </w:tabs>
              <w:spacing w:before="120" w:after="120"/>
              <w:jc w:val="both"/>
              <w:rPr>
                <w:i/>
                <w:szCs w:val="28"/>
              </w:rPr>
            </w:pPr>
            <w:r w:rsidRPr="000111F0">
              <w:rPr>
                <w:i/>
                <w:szCs w:val="28"/>
              </w:rPr>
              <w:t>Rà soát hợp đồng, giao dịch với người có liên quan thuộc thẩm quyền phê duyệt của Hội đồng quản trị hoặc Đại hội đồng cổ</w:t>
            </w:r>
            <w:r w:rsidR="00754823">
              <w:rPr>
                <w:i/>
                <w:szCs w:val="28"/>
              </w:rPr>
              <w:t xml:space="preserve"> đông và đưa ra khuyến nghị về hợp đồng, giao dịch cần có phê duyệt của Hội đồng Quản trị, hoặc Đại hội đồng Cổ đông</w:t>
            </w:r>
          </w:p>
          <w:p w:rsidR="002B0951" w:rsidRDefault="002B0951" w:rsidP="00E02419"/>
          <w:p w:rsidR="003B54B4" w:rsidRDefault="003B54B4" w:rsidP="002C78EA">
            <w:pPr>
              <w:tabs>
                <w:tab w:val="left" w:pos="851"/>
              </w:tabs>
              <w:spacing w:before="120" w:after="120"/>
              <w:jc w:val="both"/>
              <w:rPr>
                <w:i/>
                <w:szCs w:val="28"/>
              </w:rPr>
            </w:pPr>
          </w:p>
          <w:p w:rsidR="002C78EA" w:rsidRPr="00082ABD" w:rsidRDefault="00EF0DF3" w:rsidP="002C78EA">
            <w:pPr>
              <w:tabs>
                <w:tab w:val="left" w:pos="851"/>
              </w:tabs>
              <w:spacing w:before="120" w:after="120"/>
              <w:jc w:val="both"/>
              <w:rPr>
                <w:i/>
                <w:szCs w:val="28"/>
              </w:rPr>
            </w:pPr>
            <w:r>
              <w:rPr>
                <w:i/>
                <w:szCs w:val="28"/>
              </w:rPr>
              <w:t xml:space="preserve">Khoản 9. Điều 11: </w:t>
            </w:r>
            <w:r w:rsidR="002C78EA" w:rsidRPr="00082ABD">
              <w:rPr>
                <w:i/>
                <w:szCs w:val="28"/>
              </w:rPr>
              <w:t>Tham dự và tham gia thảo luận tại các cuộc họp Đại hội đồng cổ đông, Hội đồng quản trị và các cuộc họp khác của Công ty.</w:t>
            </w:r>
          </w:p>
          <w:p w:rsidR="002C78EA" w:rsidRPr="002C78EA" w:rsidRDefault="002C78EA" w:rsidP="00E02419"/>
        </w:tc>
        <w:tc>
          <w:tcPr>
            <w:tcW w:w="1949" w:type="dxa"/>
          </w:tcPr>
          <w:p w:rsidR="00780150" w:rsidRDefault="00780150" w:rsidP="00780150">
            <w:pPr>
              <w:tabs>
                <w:tab w:val="left" w:pos="851"/>
              </w:tabs>
              <w:spacing w:before="120" w:after="120"/>
              <w:jc w:val="center"/>
              <w:rPr>
                <w:i/>
                <w:szCs w:val="28"/>
              </w:rPr>
            </w:pPr>
            <w:r>
              <w:rPr>
                <w:i/>
                <w:szCs w:val="28"/>
              </w:rPr>
              <w:t>(Điểm mới )</w:t>
            </w:r>
            <w:r w:rsidRPr="000111F0">
              <w:rPr>
                <w:i/>
                <w:szCs w:val="28"/>
              </w:rPr>
              <w:t>Rà soát hợp đồng, giao dịch với người có liên quan thuộc thẩm quyền phê duyệt của Hội đồng quản trị hoặc Đại hội đồng cổ đông.</w:t>
            </w:r>
          </w:p>
          <w:p w:rsidR="00DC7F7E" w:rsidRDefault="00DC7F7E" w:rsidP="00780150">
            <w:pPr>
              <w:tabs>
                <w:tab w:val="left" w:pos="851"/>
              </w:tabs>
              <w:spacing w:before="120" w:after="120"/>
              <w:jc w:val="center"/>
              <w:rPr>
                <w:i/>
                <w:szCs w:val="28"/>
              </w:rPr>
            </w:pPr>
            <w:r w:rsidRPr="00F24F48">
              <w:rPr>
                <w:i/>
              </w:rPr>
              <w:t>Khoản</w:t>
            </w:r>
            <w:r>
              <w:rPr>
                <w:i/>
              </w:rPr>
              <w:t xml:space="preserve"> 3</w:t>
            </w:r>
            <w:r w:rsidRPr="00F24F48">
              <w:rPr>
                <w:i/>
              </w:rPr>
              <w:t xml:space="preserve"> Đi</w:t>
            </w:r>
            <w:r>
              <w:rPr>
                <w:i/>
              </w:rPr>
              <w:t>ều 170</w:t>
            </w:r>
            <w:r w:rsidRPr="00F24F48">
              <w:rPr>
                <w:i/>
              </w:rPr>
              <w:t xml:space="preserve"> Luật DN 2020</w:t>
            </w:r>
          </w:p>
          <w:p w:rsidR="00DC7F7E" w:rsidRPr="000111F0" w:rsidRDefault="00DC7F7E" w:rsidP="00780150">
            <w:pPr>
              <w:tabs>
                <w:tab w:val="left" w:pos="851"/>
              </w:tabs>
              <w:spacing w:before="120" w:after="120"/>
              <w:jc w:val="center"/>
              <w:rPr>
                <w:i/>
                <w:szCs w:val="28"/>
              </w:rPr>
            </w:pPr>
          </w:p>
          <w:p w:rsidR="002B0951" w:rsidRDefault="002B0951" w:rsidP="00E02419"/>
          <w:p w:rsidR="00EF0DF3" w:rsidRDefault="00EF0DF3" w:rsidP="00E02419">
            <w:r>
              <w:t xml:space="preserve">(Điểm mới) </w:t>
            </w:r>
          </w:p>
          <w:p w:rsidR="00EF0DF3" w:rsidRDefault="00EF0DF3" w:rsidP="00EF0DF3">
            <w:pPr>
              <w:tabs>
                <w:tab w:val="left" w:pos="851"/>
              </w:tabs>
              <w:spacing w:before="120" w:after="120"/>
              <w:jc w:val="both"/>
              <w:rPr>
                <w:b/>
                <w:i/>
                <w:szCs w:val="28"/>
              </w:rPr>
            </w:pPr>
            <w:r w:rsidRPr="00EF0DF3">
              <w:rPr>
                <w:b/>
                <w:i/>
                <w:szCs w:val="28"/>
              </w:rPr>
              <w:t>Tham dự và tham gia thảo luận</w:t>
            </w:r>
            <w:r w:rsidRPr="00082ABD">
              <w:rPr>
                <w:i/>
                <w:szCs w:val="28"/>
              </w:rPr>
              <w:t xml:space="preserve"> tại các cuộc họp </w:t>
            </w:r>
            <w:r w:rsidRPr="00EF0DF3">
              <w:rPr>
                <w:b/>
                <w:i/>
                <w:szCs w:val="28"/>
              </w:rPr>
              <w:t>Đại hội đồng cổ đông,</w:t>
            </w:r>
            <w:r w:rsidRPr="00082ABD">
              <w:rPr>
                <w:i/>
                <w:szCs w:val="28"/>
              </w:rPr>
              <w:t xml:space="preserve"> </w:t>
            </w:r>
            <w:r w:rsidRPr="00EF0DF3">
              <w:rPr>
                <w:b/>
                <w:i/>
                <w:szCs w:val="28"/>
              </w:rPr>
              <w:t>Hội đồng quản trị</w:t>
            </w:r>
            <w:r w:rsidRPr="00082ABD">
              <w:rPr>
                <w:i/>
                <w:szCs w:val="28"/>
              </w:rPr>
              <w:t xml:space="preserve"> và </w:t>
            </w:r>
            <w:r w:rsidRPr="00EF0DF3">
              <w:rPr>
                <w:b/>
                <w:i/>
                <w:szCs w:val="28"/>
              </w:rPr>
              <w:t>các cuộc họp khác của Công ty.</w:t>
            </w:r>
          </w:p>
          <w:p w:rsidR="00A01C47" w:rsidRDefault="00A01C47" w:rsidP="00A01C47">
            <w:pPr>
              <w:tabs>
                <w:tab w:val="left" w:pos="851"/>
              </w:tabs>
              <w:spacing w:before="120" w:after="120"/>
              <w:jc w:val="center"/>
              <w:rPr>
                <w:i/>
                <w:szCs w:val="28"/>
              </w:rPr>
            </w:pPr>
            <w:r w:rsidRPr="00F24F48">
              <w:rPr>
                <w:i/>
              </w:rPr>
              <w:t>Khoản</w:t>
            </w:r>
            <w:r>
              <w:rPr>
                <w:i/>
              </w:rPr>
              <w:t xml:space="preserve"> 9 </w:t>
            </w:r>
            <w:r w:rsidRPr="00F24F48">
              <w:rPr>
                <w:i/>
              </w:rPr>
              <w:t>Đi</w:t>
            </w:r>
            <w:r>
              <w:rPr>
                <w:i/>
              </w:rPr>
              <w:t>ều 170</w:t>
            </w:r>
            <w:r w:rsidRPr="00F24F48">
              <w:rPr>
                <w:i/>
              </w:rPr>
              <w:t xml:space="preserve"> Luật DN 2020</w:t>
            </w:r>
          </w:p>
          <w:p w:rsidR="00A01C47" w:rsidRPr="00EF0DF3" w:rsidRDefault="00A01C47" w:rsidP="00EF0DF3">
            <w:pPr>
              <w:tabs>
                <w:tab w:val="left" w:pos="851"/>
              </w:tabs>
              <w:spacing w:before="120" w:after="120"/>
              <w:jc w:val="both"/>
              <w:rPr>
                <w:b/>
                <w:i/>
                <w:szCs w:val="28"/>
              </w:rPr>
            </w:pPr>
          </w:p>
          <w:p w:rsidR="00EF0DF3" w:rsidRPr="00EF0DF3" w:rsidRDefault="00EF0DF3" w:rsidP="00E02419"/>
        </w:tc>
      </w:tr>
      <w:tr w:rsidR="002B0951" w:rsidTr="005E1B92">
        <w:tc>
          <w:tcPr>
            <w:tcW w:w="3652" w:type="dxa"/>
          </w:tcPr>
          <w:p w:rsidR="002B0951" w:rsidRPr="00DC2D86" w:rsidRDefault="00DC2D86" w:rsidP="00DC2D86">
            <w:pPr>
              <w:jc w:val="center"/>
            </w:pPr>
            <w:r>
              <w:t>Chương V</w:t>
            </w:r>
          </w:p>
        </w:tc>
        <w:tc>
          <w:tcPr>
            <w:tcW w:w="4394" w:type="dxa"/>
          </w:tcPr>
          <w:p w:rsidR="002B0951" w:rsidRPr="000F7E3B" w:rsidRDefault="000F7E3B" w:rsidP="00DC2D86">
            <w:pPr>
              <w:jc w:val="center"/>
            </w:pPr>
            <w:r>
              <w:t>Chương V</w:t>
            </w:r>
          </w:p>
        </w:tc>
        <w:tc>
          <w:tcPr>
            <w:tcW w:w="1949" w:type="dxa"/>
          </w:tcPr>
          <w:p w:rsidR="002B0951" w:rsidRPr="00D63CA7" w:rsidRDefault="002B0951" w:rsidP="00DC2D86">
            <w:pPr>
              <w:jc w:val="center"/>
              <w:rPr>
                <w:lang w:val="vi-VN"/>
              </w:rPr>
            </w:pPr>
          </w:p>
        </w:tc>
      </w:tr>
      <w:tr w:rsidR="002B0951" w:rsidTr="005E1B92">
        <w:tc>
          <w:tcPr>
            <w:tcW w:w="3652" w:type="dxa"/>
          </w:tcPr>
          <w:p w:rsidR="002B0951" w:rsidRPr="00D63CA7" w:rsidRDefault="002B0951" w:rsidP="00E02419">
            <w:pPr>
              <w:rPr>
                <w:lang w:val="vi-VN"/>
              </w:rPr>
            </w:pPr>
          </w:p>
        </w:tc>
        <w:tc>
          <w:tcPr>
            <w:tcW w:w="4394" w:type="dxa"/>
          </w:tcPr>
          <w:p w:rsidR="002B0951" w:rsidRPr="008F1778" w:rsidRDefault="00077F65" w:rsidP="00E02419">
            <w:pPr>
              <w:rPr>
                <w:b/>
              </w:rPr>
            </w:pPr>
            <w:r w:rsidRPr="008F1778">
              <w:rPr>
                <w:b/>
              </w:rPr>
              <w:t xml:space="preserve">Báo cáo và công khai lợi ích liên quan </w:t>
            </w:r>
          </w:p>
        </w:tc>
        <w:tc>
          <w:tcPr>
            <w:tcW w:w="1949" w:type="dxa"/>
          </w:tcPr>
          <w:p w:rsidR="002B0951" w:rsidRPr="00D63CA7" w:rsidRDefault="002B0951" w:rsidP="00E02419">
            <w:pPr>
              <w:rPr>
                <w:lang w:val="vi-VN"/>
              </w:rPr>
            </w:pPr>
          </w:p>
        </w:tc>
      </w:tr>
      <w:tr w:rsidR="002B0951" w:rsidRPr="008F1778" w:rsidTr="005E1B92">
        <w:tc>
          <w:tcPr>
            <w:tcW w:w="3652" w:type="dxa"/>
          </w:tcPr>
          <w:p w:rsidR="002B0951" w:rsidRPr="00D63CA7" w:rsidRDefault="002B0951" w:rsidP="00E02419">
            <w:pPr>
              <w:rPr>
                <w:lang w:val="vi-VN"/>
              </w:rPr>
            </w:pPr>
          </w:p>
        </w:tc>
        <w:tc>
          <w:tcPr>
            <w:tcW w:w="4394" w:type="dxa"/>
          </w:tcPr>
          <w:p w:rsidR="005D7372" w:rsidRPr="005D7372" w:rsidRDefault="005D7372" w:rsidP="005D7372">
            <w:pPr>
              <w:tabs>
                <w:tab w:val="left" w:pos="851"/>
              </w:tabs>
              <w:spacing w:before="120" w:after="120"/>
              <w:jc w:val="both"/>
              <w:rPr>
                <w:i/>
                <w:szCs w:val="28"/>
              </w:rPr>
            </w:pPr>
            <w:r>
              <w:rPr>
                <w:i/>
                <w:szCs w:val="28"/>
              </w:rPr>
              <w:t xml:space="preserve">Khoản 5, Điều 16: </w:t>
            </w:r>
            <w:r w:rsidRPr="005D7372">
              <w:rPr>
                <w:i/>
                <w:szCs w:val="28"/>
              </w:rPr>
              <w:t>Báo cáo đánh giá về giao dịch giữa Công ty, công ty con, công ty khác do Công ty nắm quyền kiểm soát trên năm mươi phần trăm (50%) trở lên vốn điều lệ với thành viên Hội đồng quản trị, Giám đốc (Tổng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5D7372" w:rsidRDefault="005D7372" w:rsidP="008F1778">
            <w:pPr>
              <w:tabs>
                <w:tab w:val="left" w:pos="851"/>
              </w:tabs>
              <w:spacing w:before="120" w:after="120"/>
              <w:jc w:val="both"/>
              <w:rPr>
                <w:i/>
                <w:szCs w:val="28"/>
              </w:rPr>
            </w:pPr>
          </w:p>
          <w:p w:rsidR="008F1778" w:rsidRPr="008F1778" w:rsidRDefault="008F1778" w:rsidP="008F1778">
            <w:pPr>
              <w:tabs>
                <w:tab w:val="left" w:pos="851"/>
              </w:tabs>
              <w:spacing w:before="120" w:after="120"/>
              <w:jc w:val="both"/>
              <w:rPr>
                <w:i/>
                <w:szCs w:val="28"/>
              </w:rPr>
            </w:pPr>
            <w:r w:rsidRPr="008F1778">
              <w:rPr>
                <w:i/>
                <w:szCs w:val="28"/>
              </w:rPr>
              <w:t>Khoản 4, Điều 18: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2B0951" w:rsidRPr="00D63CA7" w:rsidRDefault="002B0951" w:rsidP="00E02419">
            <w:pPr>
              <w:rPr>
                <w:lang w:val="vi-VN"/>
              </w:rPr>
            </w:pPr>
          </w:p>
        </w:tc>
        <w:tc>
          <w:tcPr>
            <w:tcW w:w="1949" w:type="dxa"/>
          </w:tcPr>
          <w:p w:rsidR="005C48CB" w:rsidRDefault="005C48CB" w:rsidP="005C48CB">
            <w:r>
              <w:t xml:space="preserve">(Điểm mới) </w:t>
            </w:r>
          </w:p>
          <w:p w:rsidR="009567E8" w:rsidRDefault="009567E8" w:rsidP="005C48CB">
            <w:r>
              <w:t xml:space="preserve">- </w:t>
            </w:r>
            <w:r w:rsidR="003B00FF" w:rsidRPr="009567E8">
              <w:rPr>
                <w:i/>
              </w:rPr>
              <w:t xml:space="preserve">Điều 164 </w:t>
            </w:r>
            <w:r w:rsidR="00DC2AF3" w:rsidRPr="009567E8">
              <w:rPr>
                <w:i/>
              </w:rPr>
              <w:t xml:space="preserve">Luật </w:t>
            </w:r>
            <w:r w:rsidRPr="009567E8">
              <w:rPr>
                <w:i/>
              </w:rPr>
              <w:t>Doanh nghiệp: -</w:t>
            </w:r>
            <w:r>
              <w:t xml:space="preserve">- </w:t>
            </w:r>
          </w:p>
          <w:p w:rsidR="009567E8" w:rsidRDefault="009567E8" w:rsidP="005C48CB"/>
          <w:p w:rsidR="00DC2AF3" w:rsidRPr="009567E8" w:rsidRDefault="009567E8" w:rsidP="005C48CB">
            <w:pPr>
              <w:rPr>
                <w:i/>
              </w:rPr>
            </w:pPr>
            <w:r w:rsidRPr="009567E8">
              <w:rPr>
                <w:i/>
              </w:rPr>
              <w:t xml:space="preserve">- Điểm a,b, c Khoản 6, Điều 41, Mục 2, Chương 3 Luật </w:t>
            </w:r>
            <w:r w:rsidR="00DC2AF3" w:rsidRPr="009567E8">
              <w:rPr>
                <w:i/>
              </w:rPr>
              <w:t xml:space="preserve">chứng khoán </w:t>
            </w:r>
            <w:r>
              <w:rPr>
                <w:i/>
              </w:rPr>
              <w:t>2019</w:t>
            </w:r>
          </w:p>
          <w:p w:rsidR="002B0951" w:rsidRDefault="008C325F" w:rsidP="00E02419">
            <w:r>
              <w:t xml:space="preserve">- Điều 47 Thông tư 116 </w:t>
            </w:r>
            <w:r w:rsidR="00C057F7">
              <w:t>2020</w:t>
            </w:r>
          </w:p>
          <w:p w:rsidR="005D7372" w:rsidRDefault="005D7372" w:rsidP="00E02419"/>
          <w:p w:rsidR="005D7372" w:rsidRDefault="005D7372" w:rsidP="00E02419"/>
          <w:p w:rsidR="005D7372" w:rsidRDefault="005D7372" w:rsidP="00E02419"/>
          <w:p w:rsidR="005D7372" w:rsidRDefault="005D7372" w:rsidP="005D7372">
            <w:r>
              <w:t xml:space="preserve">(Điểm mới) </w:t>
            </w:r>
          </w:p>
          <w:p w:rsidR="005E1B92" w:rsidRDefault="005E1B92" w:rsidP="005E1B92">
            <w:r>
              <w:t xml:space="preserve">- </w:t>
            </w:r>
            <w:r w:rsidRPr="009567E8">
              <w:rPr>
                <w:i/>
              </w:rPr>
              <w:t>Điều 164 Luật Doanh nghiệp: -</w:t>
            </w:r>
            <w:r>
              <w:t xml:space="preserve">- </w:t>
            </w:r>
          </w:p>
          <w:p w:rsidR="005E1B92" w:rsidRDefault="005E1B92" w:rsidP="005E1B92"/>
          <w:p w:rsidR="005E1B92" w:rsidRPr="009567E8" w:rsidRDefault="005E1B92" w:rsidP="005E1B92">
            <w:pPr>
              <w:rPr>
                <w:i/>
              </w:rPr>
            </w:pPr>
            <w:r w:rsidRPr="009567E8">
              <w:rPr>
                <w:i/>
              </w:rPr>
              <w:t xml:space="preserve">- Điểm a,b, c Khoản 6, Điều 41, Mục 2, Chương 3 Luật chứng khoán </w:t>
            </w:r>
            <w:r>
              <w:rPr>
                <w:i/>
              </w:rPr>
              <w:t>2019</w:t>
            </w:r>
          </w:p>
          <w:p w:rsidR="005E1B92" w:rsidRDefault="005E1B92" w:rsidP="005E1B92"/>
          <w:p w:rsidR="005E1B92" w:rsidRDefault="005E1B92" w:rsidP="005D7372"/>
          <w:p w:rsidR="005D7372" w:rsidRPr="008F1778" w:rsidRDefault="005D7372" w:rsidP="00E02419"/>
        </w:tc>
      </w:tr>
      <w:tr w:rsidR="002B0951" w:rsidTr="005E1B92">
        <w:tc>
          <w:tcPr>
            <w:tcW w:w="3652" w:type="dxa"/>
          </w:tcPr>
          <w:p w:rsidR="002B0951" w:rsidRPr="00D63CA7" w:rsidRDefault="002B0951" w:rsidP="00E02419">
            <w:pPr>
              <w:rPr>
                <w:lang w:val="vi-VN"/>
              </w:rPr>
            </w:pPr>
          </w:p>
        </w:tc>
        <w:tc>
          <w:tcPr>
            <w:tcW w:w="4394" w:type="dxa"/>
          </w:tcPr>
          <w:p w:rsidR="002B0951" w:rsidRPr="00D63CA7" w:rsidRDefault="002B0951" w:rsidP="00E02419">
            <w:pPr>
              <w:rPr>
                <w:lang w:val="vi-VN"/>
              </w:rPr>
            </w:pPr>
          </w:p>
        </w:tc>
        <w:tc>
          <w:tcPr>
            <w:tcW w:w="1949" w:type="dxa"/>
          </w:tcPr>
          <w:p w:rsidR="002B0951" w:rsidRPr="00D63CA7" w:rsidRDefault="002B0951" w:rsidP="00E02419">
            <w:pPr>
              <w:rPr>
                <w:lang w:val="vi-VN"/>
              </w:rPr>
            </w:pPr>
          </w:p>
        </w:tc>
      </w:tr>
      <w:tr w:rsidR="002B0951" w:rsidTr="005E1B92">
        <w:tc>
          <w:tcPr>
            <w:tcW w:w="3652" w:type="dxa"/>
          </w:tcPr>
          <w:p w:rsidR="002B0951" w:rsidRPr="00D63CA7" w:rsidRDefault="002B0951" w:rsidP="00E02419">
            <w:pPr>
              <w:rPr>
                <w:lang w:val="vi-VN"/>
              </w:rPr>
            </w:pPr>
          </w:p>
        </w:tc>
        <w:tc>
          <w:tcPr>
            <w:tcW w:w="4394" w:type="dxa"/>
          </w:tcPr>
          <w:p w:rsidR="002B0951" w:rsidRPr="00D63CA7" w:rsidRDefault="002B0951" w:rsidP="00E02419">
            <w:pPr>
              <w:rPr>
                <w:lang w:val="vi-VN"/>
              </w:rPr>
            </w:pPr>
          </w:p>
        </w:tc>
        <w:tc>
          <w:tcPr>
            <w:tcW w:w="1949" w:type="dxa"/>
          </w:tcPr>
          <w:p w:rsidR="002B0951" w:rsidRPr="00D63CA7" w:rsidRDefault="002B0951" w:rsidP="00E02419">
            <w:pPr>
              <w:rPr>
                <w:lang w:val="vi-VN"/>
              </w:rPr>
            </w:pPr>
          </w:p>
        </w:tc>
      </w:tr>
    </w:tbl>
    <w:p w:rsidR="00D63CA7" w:rsidRDefault="00D63CA7" w:rsidP="00D63CA7">
      <w:pPr>
        <w:jc w:val="center"/>
      </w:pPr>
    </w:p>
    <w:p w:rsidR="00271299" w:rsidRDefault="00271299" w:rsidP="00271299">
      <w:pPr>
        <w:pStyle w:val="Vnbnnidung0"/>
        <w:adjustRightInd w:val="0"/>
        <w:snapToGrid w:val="0"/>
        <w:spacing w:after="0" w:line="240" w:lineRule="auto"/>
        <w:ind w:firstLine="0"/>
        <w:jc w:val="both"/>
        <w:rPr>
          <w:rStyle w:val="Vnbnnidung"/>
          <w:iCs/>
          <w:lang w:eastAsia="vi-VN"/>
        </w:rPr>
      </w:pPr>
      <w:r w:rsidRPr="00092289">
        <w:rPr>
          <w:b/>
          <w:i/>
        </w:rPr>
        <w:t>Lý do điều chỉnh, bổ sung:</w:t>
      </w:r>
      <w:r w:rsidRPr="00092289">
        <w:t xml:space="preserve"> cho Phù hợp với </w:t>
      </w:r>
      <w:r w:rsidRPr="00092289">
        <w:rPr>
          <w:rStyle w:val="Vnbnnidung"/>
          <w:b/>
          <w:bCs/>
          <w:lang w:eastAsia="vi-VN"/>
        </w:rPr>
        <w:t>Phụ lụ</w:t>
      </w:r>
      <w:r w:rsidR="0018119F">
        <w:rPr>
          <w:rStyle w:val="Vnbnnidung"/>
          <w:b/>
          <w:bCs/>
          <w:lang w:eastAsia="vi-VN"/>
        </w:rPr>
        <w:t xml:space="preserve">c </w:t>
      </w:r>
      <w:r w:rsidR="0018119F">
        <w:rPr>
          <w:rStyle w:val="Vnbnnidung"/>
          <w:b/>
          <w:bCs/>
          <w:lang w:val="en-US" w:eastAsia="vi-VN"/>
        </w:rPr>
        <w:t>IV</w:t>
      </w:r>
      <w:r w:rsidRPr="00092289">
        <w:t xml:space="preserve"> </w:t>
      </w:r>
      <w:r w:rsidRPr="00092289">
        <w:rPr>
          <w:rStyle w:val="Vnbnnidung"/>
          <w:iCs/>
          <w:lang w:eastAsia="vi-VN"/>
        </w:rPr>
        <w:t>(Ban hành kèm theo Thông tư số 116/2020/TT-BTC ngày 31 tháng 12 năm 2020 của Bộ trưởng Bộ Tài chính)</w:t>
      </w:r>
    </w:p>
    <w:p w:rsidR="00D63CA7" w:rsidRDefault="00D63CA7"/>
    <w:p w:rsidR="00D63CA7" w:rsidRDefault="00D63CA7"/>
    <w:sectPr w:rsidR="00D63CA7" w:rsidSect="006E5E8C">
      <w:head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F7" w:rsidRDefault="004235F7" w:rsidP="00FF517E">
      <w:pPr>
        <w:spacing w:after="0" w:line="240" w:lineRule="auto"/>
      </w:pPr>
      <w:r>
        <w:separator/>
      </w:r>
    </w:p>
  </w:endnote>
  <w:endnote w:type="continuationSeparator" w:id="0">
    <w:p w:rsidR="004235F7" w:rsidRDefault="004235F7" w:rsidP="00FF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F7" w:rsidRDefault="004235F7" w:rsidP="00FF517E">
      <w:pPr>
        <w:spacing w:after="0" w:line="240" w:lineRule="auto"/>
      </w:pPr>
      <w:r>
        <w:separator/>
      </w:r>
    </w:p>
  </w:footnote>
  <w:footnote w:type="continuationSeparator" w:id="0">
    <w:p w:rsidR="004235F7" w:rsidRDefault="004235F7" w:rsidP="00FF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36341"/>
      <w:docPartObj>
        <w:docPartGallery w:val="Page Numbers (Top of Page)"/>
        <w:docPartUnique/>
      </w:docPartObj>
    </w:sdtPr>
    <w:sdtEndPr>
      <w:rPr>
        <w:noProof/>
      </w:rPr>
    </w:sdtEndPr>
    <w:sdtContent>
      <w:p w:rsidR="00FF517E" w:rsidRDefault="00FF517E">
        <w:pPr>
          <w:pStyle w:val="Header"/>
          <w:jc w:val="center"/>
        </w:pPr>
        <w:r>
          <w:fldChar w:fldCharType="begin"/>
        </w:r>
        <w:r>
          <w:instrText xml:space="preserve"> PAGE   \* MERGEFORMAT </w:instrText>
        </w:r>
        <w:r>
          <w:fldChar w:fldCharType="separate"/>
        </w:r>
        <w:r w:rsidR="005022B3">
          <w:rPr>
            <w:noProof/>
          </w:rPr>
          <w:t>3</w:t>
        </w:r>
        <w:r>
          <w:rPr>
            <w:noProof/>
          </w:rPr>
          <w:fldChar w:fldCharType="end"/>
        </w:r>
      </w:p>
    </w:sdtContent>
  </w:sdt>
  <w:p w:rsidR="00FF517E" w:rsidRDefault="00FF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516"/>
    <w:multiLevelType w:val="hybridMultilevel"/>
    <w:tmpl w:val="99FAACBE"/>
    <w:lvl w:ilvl="0" w:tplc="342CD0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DBA1DFD"/>
    <w:multiLevelType w:val="hybridMultilevel"/>
    <w:tmpl w:val="F18287F0"/>
    <w:lvl w:ilvl="0" w:tplc="6CAEBD76">
      <w:start w:val="1"/>
      <w:numFmt w:val="lowerLetter"/>
      <w:lvlText w:val="%1)"/>
      <w:lvlJc w:val="left"/>
      <w:pPr>
        <w:ind w:left="927" w:hanging="360"/>
      </w:pPr>
      <w:rPr>
        <w:rFonts w:asciiTheme="minorHAnsi" w:eastAsiaTheme="minorHAnsi" w:hAnsiTheme="minorHAnsi" w:cstheme="minorBid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E9041FB"/>
    <w:multiLevelType w:val="hybridMultilevel"/>
    <w:tmpl w:val="5DE0E926"/>
    <w:lvl w:ilvl="0" w:tplc="E97AB16A">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057262E"/>
    <w:multiLevelType w:val="hybridMultilevel"/>
    <w:tmpl w:val="8C68DD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E086E"/>
    <w:multiLevelType w:val="hybridMultilevel"/>
    <w:tmpl w:val="1AACA018"/>
    <w:lvl w:ilvl="0" w:tplc="27D6C8C0">
      <w:start w:val="3"/>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14D11"/>
    <w:multiLevelType w:val="hybridMultilevel"/>
    <w:tmpl w:val="2A2C5390"/>
    <w:lvl w:ilvl="0" w:tplc="9FC6DDB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CD52CC5"/>
    <w:multiLevelType w:val="hybridMultilevel"/>
    <w:tmpl w:val="1700D8EC"/>
    <w:lvl w:ilvl="0" w:tplc="391674F4">
      <w:start w:val="1"/>
      <w:numFmt w:val="decimal"/>
      <w:lvlText w:val="Điều %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7">
    <w:nsid w:val="646E2829"/>
    <w:multiLevelType w:val="hybridMultilevel"/>
    <w:tmpl w:val="2A2C5390"/>
    <w:lvl w:ilvl="0" w:tplc="9FC6DDB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CD620E0"/>
    <w:multiLevelType w:val="hybridMultilevel"/>
    <w:tmpl w:val="06100D20"/>
    <w:lvl w:ilvl="0" w:tplc="4D7AC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92F84"/>
    <w:multiLevelType w:val="hybridMultilevel"/>
    <w:tmpl w:val="9A80AAC2"/>
    <w:lvl w:ilvl="0" w:tplc="7070E75E">
      <w:start w:val="2"/>
      <w:numFmt w:val="bullet"/>
      <w:lvlText w:val="-"/>
      <w:lvlJc w:val="left"/>
      <w:pPr>
        <w:ind w:left="1211" w:hanging="360"/>
      </w:pPr>
      <w:rPr>
        <w:rFonts w:ascii="Cambria" w:eastAsiaTheme="minorHAnsi" w:hAnsi="Cambria" w:cstheme="majorHAns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5"/>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A7"/>
    <w:rsid w:val="000111F0"/>
    <w:rsid w:val="00075A27"/>
    <w:rsid w:val="00077F65"/>
    <w:rsid w:val="00080244"/>
    <w:rsid w:val="0009515C"/>
    <w:rsid w:val="000F7E3B"/>
    <w:rsid w:val="0018119F"/>
    <w:rsid w:val="001850C6"/>
    <w:rsid w:val="00271299"/>
    <w:rsid w:val="00271AE3"/>
    <w:rsid w:val="002B0951"/>
    <w:rsid w:val="002C78EA"/>
    <w:rsid w:val="003A65D4"/>
    <w:rsid w:val="003B00FF"/>
    <w:rsid w:val="003B05DA"/>
    <w:rsid w:val="003B54B4"/>
    <w:rsid w:val="003C7808"/>
    <w:rsid w:val="004235F7"/>
    <w:rsid w:val="004840B8"/>
    <w:rsid w:val="004F2B1C"/>
    <w:rsid w:val="005022B3"/>
    <w:rsid w:val="005C48CB"/>
    <w:rsid w:val="005D7372"/>
    <w:rsid w:val="005E1B92"/>
    <w:rsid w:val="006E5E8C"/>
    <w:rsid w:val="0075313D"/>
    <w:rsid w:val="00754823"/>
    <w:rsid w:val="00780150"/>
    <w:rsid w:val="0078638D"/>
    <w:rsid w:val="007C1D3D"/>
    <w:rsid w:val="00840B14"/>
    <w:rsid w:val="008C325F"/>
    <w:rsid w:val="008E61A7"/>
    <w:rsid w:val="008F1778"/>
    <w:rsid w:val="009567E8"/>
    <w:rsid w:val="00996AED"/>
    <w:rsid w:val="00A01C47"/>
    <w:rsid w:val="00B82F0D"/>
    <w:rsid w:val="00C057F7"/>
    <w:rsid w:val="00CA1385"/>
    <w:rsid w:val="00CE5BA2"/>
    <w:rsid w:val="00CE78A2"/>
    <w:rsid w:val="00D11EF8"/>
    <w:rsid w:val="00D63CA7"/>
    <w:rsid w:val="00D63DC1"/>
    <w:rsid w:val="00DB4820"/>
    <w:rsid w:val="00DC2AF3"/>
    <w:rsid w:val="00DC2D86"/>
    <w:rsid w:val="00DC7F7E"/>
    <w:rsid w:val="00E009A5"/>
    <w:rsid w:val="00EB33A3"/>
    <w:rsid w:val="00EE2F87"/>
    <w:rsid w:val="00EF0DF3"/>
    <w:rsid w:val="00F24F48"/>
    <w:rsid w:val="00FB2D31"/>
    <w:rsid w:val="00FF51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D63CA7"/>
    <w:rPr>
      <w:rFonts w:ascii="Times New Roman" w:hAnsi="Times New Roman" w:cs="Times New Roman"/>
      <w:sz w:val="26"/>
      <w:szCs w:val="26"/>
    </w:rPr>
  </w:style>
  <w:style w:type="paragraph" w:customStyle="1" w:styleId="Vnbnnidung0">
    <w:name w:val="Văn bản nội dung"/>
    <w:basedOn w:val="Normal"/>
    <w:link w:val="Vnbnnidung"/>
    <w:uiPriority w:val="99"/>
    <w:rsid w:val="00D63CA7"/>
    <w:pPr>
      <w:widowControl w:val="0"/>
      <w:spacing w:after="100" w:line="259" w:lineRule="auto"/>
      <w:ind w:firstLine="20"/>
    </w:pPr>
    <w:rPr>
      <w:rFonts w:ascii="Times New Roman" w:hAnsi="Times New Roman" w:cs="Times New Roman"/>
      <w:sz w:val="26"/>
      <w:szCs w:val="26"/>
    </w:rPr>
  </w:style>
  <w:style w:type="paragraph" w:styleId="ListParagraph">
    <w:name w:val="List Paragraph"/>
    <w:basedOn w:val="Normal"/>
    <w:uiPriority w:val="34"/>
    <w:qFormat/>
    <w:rsid w:val="00D63CA7"/>
    <w:pPr>
      <w:ind w:left="720"/>
      <w:contextualSpacing/>
    </w:pPr>
    <w:rPr>
      <w:lang w:val="en-US"/>
    </w:rPr>
  </w:style>
  <w:style w:type="paragraph" w:styleId="Header">
    <w:name w:val="header"/>
    <w:basedOn w:val="Normal"/>
    <w:link w:val="HeaderChar"/>
    <w:uiPriority w:val="99"/>
    <w:unhideWhenUsed/>
    <w:rsid w:val="00D63CA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63CA7"/>
    <w:rPr>
      <w:lang w:val="en-US"/>
    </w:rPr>
  </w:style>
  <w:style w:type="paragraph" w:styleId="Footer">
    <w:name w:val="footer"/>
    <w:basedOn w:val="Normal"/>
    <w:link w:val="FooterChar"/>
    <w:uiPriority w:val="99"/>
    <w:unhideWhenUsed/>
    <w:rsid w:val="00D63CA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63CA7"/>
    <w:rPr>
      <w:lang w:val="en-US"/>
    </w:rPr>
  </w:style>
  <w:style w:type="paragraph" w:styleId="NormalWeb">
    <w:name w:val="Normal (Web)"/>
    <w:basedOn w:val="Normal"/>
    <w:uiPriority w:val="99"/>
    <w:unhideWhenUsed/>
    <w:rsid w:val="007531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D63CA7"/>
    <w:rPr>
      <w:rFonts w:ascii="Times New Roman" w:hAnsi="Times New Roman" w:cs="Times New Roman"/>
      <w:sz w:val="26"/>
      <w:szCs w:val="26"/>
    </w:rPr>
  </w:style>
  <w:style w:type="paragraph" w:customStyle="1" w:styleId="Vnbnnidung0">
    <w:name w:val="Văn bản nội dung"/>
    <w:basedOn w:val="Normal"/>
    <w:link w:val="Vnbnnidung"/>
    <w:uiPriority w:val="99"/>
    <w:rsid w:val="00D63CA7"/>
    <w:pPr>
      <w:widowControl w:val="0"/>
      <w:spacing w:after="100" w:line="259" w:lineRule="auto"/>
      <w:ind w:firstLine="20"/>
    </w:pPr>
    <w:rPr>
      <w:rFonts w:ascii="Times New Roman" w:hAnsi="Times New Roman" w:cs="Times New Roman"/>
      <w:sz w:val="26"/>
      <w:szCs w:val="26"/>
    </w:rPr>
  </w:style>
  <w:style w:type="paragraph" w:styleId="ListParagraph">
    <w:name w:val="List Paragraph"/>
    <w:basedOn w:val="Normal"/>
    <w:uiPriority w:val="34"/>
    <w:qFormat/>
    <w:rsid w:val="00D63CA7"/>
    <w:pPr>
      <w:ind w:left="720"/>
      <w:contextualSpacing/>
    </w:pPr>
    <w:rPr>
      <w:lang w:val="en-US"/>
    </w:rPr>
  </w:style>
  <w:style w:type="paragraph" w:styleId="Header">
    <w:name w:val="header"/>
    <w:basedOn w:val="Normal"/>
    <w:link w:val="HeaderChar"/>
    <w:uiPriority w:val="99"/>
    <w:unhideWhenUsed/>
    <w:rsid w:val="00D63CA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63CA7"/>
    <w:rPr>
      <w:lang w:val="en-US"/>
    </w:rPr>
  </w:style>
  <w:style w:type="paragraph" w:styleId="Footer">
    <w:name w:val="footer"/>
    <w:basedOn w:val="Normal"/>
    <w:link w:val="FooterChar"/>
    <w:uiPriority w:val="99"/>
    <w:unhideWhenUsed/>
    <w:rsid w:val="00D63CA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63CA7"/>
    <w:rPr>
      <w:lang w:val="en-US"/>
    </w:rPr>
  </w:style>
  <w:style w:type="paragraph" w:styleId="NormalWeb">
    <w:name w:val="Normal (Web)"/>
    <w:basedOn w:val="Normal"/>
    <w:uiPriority w:val="99"/>
    <w:unhideWhenUsed/>
    <w:rsid w:val="007531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2021-03-08T01:42:00Z</dcterms:created>
  <dcterms:modified xsi:type="dcterms:W3CDTF">2021-03-08T01:42:00Z</dcterms:modified>
</cp:coreProperties>
</file>